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" w:before="12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B88A36"/>
          <w:spacing w:val="36"/>
          <w:sz w:val="15"/>
          <w:szCs w:val="15"/>
        </w:rPr>
        <w:t xml:space="preserve">GLOBAL EXPERT PARTNER PROGRAM  ·  EN / KO / ZH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34"/>
          <w:szCs w:val="34"/>
        </w:rPr>
        <w:t xml:space="preserve">Global Expert Partner Operating Policy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7"/>
          <w:szCs w:val="27"/>
        </w:rPr>
        <w:t xml:space="preserve">글로벌 전문가 파트너 운영 규정</w:t>
      </w:r>
    </w:p>
    <w:p>
      <w:pPr>
        <w:spacing w:after="7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23416F"/>
          <w:sz w:val="24"/>
          <w:szCs w:val="24"/>
        </w:rPr>
        <w:t xml:space="preserve">全球专家合作伙伴运营规定</w:t>
      </w:r>
    </w:p>
    <w:p>
      <w:pPr>
        <w:pBdr>
          <w:bottom w:val="single" w:color="B88A36" w:sz="12"/>
        </w:pBdr>
        <w:tabs>
          <w:tab w:val="right" w:pos="9360"/>
        </w:tabs>
        <w:spacing w:after="7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717C93"/>
          <w:sz w:val="16"/>
          <w:szCs w:val="16"/>
        </w:rPr>
        <w:t xml:space="preserve">EDUPIM CAMPUS  ·  EDUPIM GLOBAL PTE. LTD.</w:t>
      </w:r>
      <w:r>
        <w:rPr>
          <w:rFonts w:ascii="Malgun Gothic" w:cs="Malgun Gothic" w:eastAsia="Malgun Gothic" w:hAnsi="Malgun Gothic"/>
          <w:color w:val="717C93"/>
          <w:sz w:val="14"/>
          <w:szCs w:val="14"/>
        </w:rPr>
        <w:t xml:space="preserve">	EPC-GEP-P01  ·  Ver 1.0  ·  UEN 202552251N</w:t>
      </w:r>
    </w:p>
    <w:p>
      <w:pPr>
        <w:spacing w:after="60"/>
      </w:pPr>
      <w:r>
        <w:rPr>
          <w:sz w:val="8"/>
          <w:szCs w:val="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B88A36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Purpose  ·  문서 목적  ·  文件目的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This policy sets the standards for approval, content quality, review, settlement, refunds and operation of the EDUPIM CAMPUS Global Expert Partner Program.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본 규정은 에듀핌 캠퍼스 글로벌 전문가 파트너 프로그램의 승인·품질·심사·정산·환불 및 운영 기준을 정합니다.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本规定确立 EDUPIM CAMPUS 全球专家合作伙伴计划在批准、质量、审核、结算、退款及运营方面的标准。</w:t>
            </w:r>
          </w:p>
        </w:tc>
      </w:tr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C9A24C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How to Complete  ·  작성 안내  ·  填写说明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It applies to all partner instructors, and registering as a partner is deemed consent to this policy. Details may change with prior notice.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모든 파트너 강사에게 적용되며 파트너 등록 시 본 규정에 동의한 것으로 간주합니다. 세부 기준은 사전 공지 후 변경될 수 있습니다.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本规定适用于所有合作讲师，登记为合作伙伴即视为同意本规定。具体标准经事先通知后可予变更。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Chapter 1. Approval Criteria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제1장 승인 기준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第一章 批准标准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Applicants must hold relevant qualifications or practical experience and be able to objectively prove their expertise.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관련 분야의 자격 또는 실무 경력을 보유하고 전문성을 객관적으로 증빙할 수 있어야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申请人须持有相关领域资格或实务经验，并能客观证明其专业能力。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The contents of the application and supporting documents must be true.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신청서 및 증빙 서류의 내용이 사실에 부합하여야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申请书及证明文件的内容须真实相符。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3.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The applicant must align with EDUPIM CAMPUS’s educational values and policies.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에듀핌 캠퍼스의 교육 가치 및 운영 정책에 부합하여야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须符合 EDUPIM CAMPUS 的教育价值与运营政策。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Chapter 2. Content Quality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제2장 콘텐츠 품질 기준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第二章 内容质量标准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Content must be based on accurate information and structured to be easy to understand.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강의 내용은 정확한 정보에 근거하며 이해하기 쉽게 구성되어야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课程内容须基于准确信息，并以易于理解的方式构建。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The quality of video, audio and materials must meet the Production Guide specifications.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영상·음향·자료 품질은 강의 제작 가이드 규격을 충족하여야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视频、音频及资料质量须符合制作指南的规格。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3.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It must not contain false or exaggerated information, defamation or discriminatory expressions.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허위·과장 정보, 비방, 차별적 표현을 포함하지 않아야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不得含有虚假或夸大信息、诽谤或歧视性表述。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Chapter 3. Review Criteria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제3장 심사 기준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第三章 审核标准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Content is sold only after review and approval by the education committee.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콘텐츠는 교육위원회의 검수를 거쳐 승인된 후 판매된다.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内容须经教育委员会审核批准后方可销售。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Review is based on expertise, accuracy, structure, quality and copyright legality.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심사는 전문성·정확성·구성·품질·저작권 적법성을 기준으로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审核以专业性、准确性、结构、质量及版权合法性为标准。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3.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If improvement is needed, revisions may be requested; repeated non-conformity may suspend registration.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보완이 필요한 경우 수정 요청이 있을 수 있으며 반복적 부적합 시 등록이 보류될 수 있다.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如需完善可要求修改；反复不合格的，可暂缓登记。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Chapter 4. Settlement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제4장 정산 기준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第四章 结算标准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Revenue is shared by the revenue-share method, at the ratio set in the individual contract.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수익은 수익쉐어 방식으로 배분하며 비율은 개별 계약에 따른다.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收益以收益分成方式分配，比例依个别合同确定。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Settlement is aggregated monthly and paid to the registered account on a designated day of the following month.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정산은 매월 집계하여 익월 지정일에 등록 계좌로 지급한다.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结算按月汇总，于次月指定日支付至登记账户。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3.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Sales and settlement details are provided in real time via the instructor admin page.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매출·정산 내역은 강사 전용 관리자 페이지에서 실시간으로 제공한다.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销售与结算明细通过讲师专用管理页面实时提供。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Chapter 5. Refunds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제5장 환불 기준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第五章 退款标准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Learner refunds follow applicable law and the platform refund policy.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수강생 환불은 관련 법령 및 플랫폼 환불 정책에 따른다.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学员退款依照相关法律法规及平台退款政策处理。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Settlement for refunded transactions is deducted or recovered in that month’s settlement.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환불 거래의 정산금은 해당 월 정산에서 차감 또는 환수한다.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已退款交易的结算款在当月结算中扣减或追回。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Chapter 6. Content Removal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제6장 콘텐츠 삭제 기준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第六章 内容删除标准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Content with confirmed copyright disputes, false statements or legal violations may be suspended immediately.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저작권 분쟁·허위사실·법령 위반이 확인된 콘텐츠는 즉시 판매가 중단될 수 있다.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经确认存在版权纠纷、虚假事实或违法情形的内容，可立即停止销售。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Long-inactive or sub-standard content may be removed after prior notice.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장기 미운영되거나 품질 미달 콘텐츠는 사전 통지 후 삭제될 수 있다.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长期未运营或质量不达标的内容，经事先通知后可予删除。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Chapter 7. Instructor Obligations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제7장 강사의 의무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第七章 讲师义务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Provide accurate, lawful content and respect copyright and portrait rights.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정확하고 적법한 콘텐츠를 제공하고 저작권·초상권을 준수한다.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提供准确合法的内容，并遵守版权与肖像权。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Cooperate sincerely with learner inquiries and learning support.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수강생 문의 및 학습 지원에 성실히 협조한다.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积极配合学员咨询及学习支持。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3.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Comply with the platform’s operating policies and this policy.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플랫폼 운영 정책 및 본 규정을 준수한다.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遵守平台运营政策及本规定。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Chapter 8. Platform Obligations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제8장 플랫폼의 의무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第八章 平台义务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Provide transparent sales/settlement details and faithfully perform agreed settlements.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투명한 매출·정산 내역을 제공하고 약정 정산을 성실히 이행한다.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提供透明的销售与结算明细，并诚实履行约定结算。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Provide systems and support for content registration, sale and promotion.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콘텐츠 등록·판매·홍보를 위한 시스템과 지원을 제공한다.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为内容登记、销售及宣传提供系统与支持。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3.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Securely manage the instructor’s personal data and content.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강사의 개인정보 및 콘텐츠를 안전하게 관리한다.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妥善安全地管理讲师的个人信息及内容。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Chapter 9. Operating Policy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제9장 운영 정책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第九章 运营政策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Matters not specified herein follow applicable law and platform operating principles.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 규정에 없는 사항은 관계 법령 및 플랫폼 운영 방침에 따른다.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本规定未尽事宜，依照相关法律法规及平台运营方针处理。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Policy changes are, in principle, announced at least 14 days before they take effect.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규정 변경 시 시행 14일 전까지 공지함을 원칙으로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规定变更原则上于生效前至少 14 日予以公告。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Supplementary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부칙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附则</w:t>
      </w:r>
    </w:p>
    <w:p>
      <w:pPr>
        <w:keepNext/>
        <w:spacing w:after="0" w:before="8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This policy takes effect from 20__ . __ . __ 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 규정은 20      년      월      일부터 시행한다.</w:t>
      </w:r>
    </w:p>
    <w:p>
      <w:pPr>
        <w:spacing w:after="96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本规定自 20__ 年 __ 月 __ 日起施行。</w:t>
      </w:r>
    </w:p>
    <w:p>
      <w:pPr>
        <w:keepNext/>
        <w:spacing w:after="0" w:before="12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have fully reviewed this operating policy and agree to comply with it.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본인은 위 운영 규정을 충분히 숙지하였으며 이를 준수할 것에 동의합니다.</w:t>
      </w:r>
    </w:p>
    <w:p>
      <w:pPr>
        <w:spacing w:after="96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本人已充分知悉本运营规定，并同意遵守。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Confirmation &amp; Signature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확인 및 서명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确认与签名</w:t>
      </w:r>
    </w:p>
    <w:p>
      <w:pPr>
        <w:keepNext/>
        <w:spacing w:after="0" w:before="8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confirm that the information provided above is true and correct, and I agree to the relevant terms.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본인은 위 기재사항이 사실과 다름없음을 확인하며, 관련 내용에 동의합니다.</w:t>
      </w:r>
    </w:p>
    <w:p>
      <w:pPr>
        <w:spacing w:after="6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本人确认以上所填信息真实无误，并同意相关内容。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50"/>
        <w:gridCol w:w="2630"/>
        <w:gridCol w:w="2050"/>
        <w:gridCol w:w="2630"/>
      </w:tblGrid>
      <w:tr>
        <w:trPr>
          <w:trHeight w:val="60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Partner (Instructor) Name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파트너 (강사) 성명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合作伙伴（讲师） 姓名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Signature / Seal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서명 또는 인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签名 / 盖章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6"/>
                <w:szCs w:val="16"/>
              </w:rPr>
              <w:t xml:space="preserve">  (印)</w:t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Affiliation / Title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소속 · 직함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所属 · 职务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Contact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연락처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联系方式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Date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작성일자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填写日期</w:t>
            </w:r>
          </w:p>
        </w:tc>
        <w:tc>
          <w:tcPr>
            <w:tcW w:type="dxa" w:w="7310"/>
            <w:gridSpan w:val="3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20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5"/>
                <w:szCs w:val="15"/>
              </w:rPr>
              <w:t xml:space="preserve">   (YYYY / MM / DD)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300" w:right="1273" w:bottom="1360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5CDDC" w:sz="4"/>
      </w:pBdr>
      <w:tabs>
        <w:tab w:val="right" w:pos="9360"/>
      </w:tabs>
      <w:spacing w:after="8" w:before="60"/>
    </w:pPr>
    <w:r>
      <w:rPr>
        <w:rFonts w:ascii="Malgun Gothic" w:cs="Malgun Gothic" w:eastAsia="Malgun Gothic" w:hAnsi="Malgun Gothic"/>
        <w:b/>
        <w:bCs/>
        <w:i w:val="false"/>
        <w:iCs w:val="false"/>
        <w:color w:val="16294A"/>
        <w:sz w:val="13"/>
        <w:szCs w:val="13"/>
      </w:rPr>
      <w:t xml:space="preserve">EDUPIM GLOBAL PTE. LTD. (EDUPIM CAMPUS)  ·  UEN 202552251N</w:t>
    </w:r>
    <w:r>
      <w:rPr>
        <w:rFonts w:ascii="Malgun Gothic" w:cs="Malgun Gothic" w:eastAsia="Malgun Gothic" w:hAnsi="Malgun Gothic"/>
        <w:color w:val="717C93"/>
        <w:sz w:val="13"/>
        <w:szCs w:val="13"/>
      </w:rPr>
      <w:t xml:space="preserve">	Page </w:t>
      <w:fldChar w:fldCharType="begin"/>
      <w:instrText xml:space="preserve">PAGE</w:instrText>
      <w:fldChar w:fldCharType="separate"/>
      <w:fldChar w:fldCharType="end"/>
      <w:t xml:space="preserve"> / </w:t>
      <w:fldChar w:fldCharType="begin"/>
      <w:instrText xml:space="preserve">NUMPAGES</w:instrText>
      <w:fldChar w:fldCharType="separate"/>
      <w:fldChar w:fldCharType="end"/>
    </w:r>
  </w:p>
  <w:p>
    <w:pPr>
      <w:spacing w:after="0" w:before="0"/>
    </w:pP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2"/>
        <w:szCs w:val="12"/>
      </w:rPr>
      <w:t xml:space="preserve">111 Somerset Road, #06-01E, 111 Somerset, Singapore 238164  ·  Internal standard template (pending legal review) / 내부 표준 양식(법률 검토 전) / 内部标准格式（法律审核前）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5CDDC" w:sz="4"/>
      </w:pBdr>
      <w:tabs>
        <w:tab w:val="right" w:pos="9360"/>
      </w:tabs>
      <w:spacing w:after="70"/>
    </w:pPr>
    <w:r>
      <w:drawing>
        <wp:inline distT="0" distB="0" distL="0" distR="0">
          <wp:extent cx="1428750" cy="228600"/>
          <wp:effectExtent t="0" r="0" b="0" l="0"/>
          <wp:docPr id="1" name="logo" descr="logo" title="EDUPIM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Malgun Gothic" w:cs="Malgun Gothic" w:eastAsia="Malgun Gothic" w:hAnsi="Malgun Gothic"/>
      </w:rPr>
      <w:t xml:space="preserve">	</w:t>
    </w:r>
    <w:r>
      <w:rPr>
        <w:rFonts w:ascii="Malgun Gothic" w:cs="Malgun Gothic" w:eastAsia="Malgun Gothic" w:hAnsi="Malgun Gothic"/>
        <w:b/>
        <w:bCs/>
        <w:i w:val="false"/>
        <w:iCs w:val="false"/>
        <w:color w:val="B88A36"/>
        <w:spacing w:val="30"/>
        <w:sz w:val="13"/>
        <w:szCs w:val="13"/>
      </w:rPr>
      <w:t xml:space="preserve">GLOBAL EXPERT PARTNER</w:t>
    </w: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3"/>
        <w:szCs w:val="13"/>
      </w:rPr>
      <w:t xml:space="preserve">   EPC-GEP-P01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cs="Malgun Gothic" w:eastAsia="Malgun Gothic" w:hAnsi="Malgun Gothic"/>
        <w:color w:val="1C2740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97c771f01b8851c2f939c47e8622859dfbb497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2026-06-07T09:00:47.734Z</dcterms:created>
  <dcterms:modified xsi:type="dcterms:W3CDTF">2026-06-07T09:00:47.734Z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